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7F" w:rsidRPr="002D1C2D" w:rsidRDefault="00AC2F7F" w:rsidP="00FF08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1C2D">
        <w:rPr>
          <w:rFonts w:ascii="Times New Roman" w:hAnsi="Times New Roman" w:cs="Times New Roman"/>
          <w:b/>
          <w:bCs/>
        </w:rPr>
        <w:t>Программа для ЭВМ «</w:t>
      </w:r>
      <w:proofErr w:type="spellStart"/>
      <w:r w:rsidRPr="002D1C2D">
        <w:rPr>
          <w:rFonts w:ascii="Times New Roman" w:hAnsi="Times New Roman" w:cs="Times New Roman"/>
          <w:b/>
          <w:bCs/>
        </w:rPr>
        <w:t>Контур</w:t>
      </w:r>
      <w:proofErr w:type="gramStart"/>
      <w:r w:rsidRPr="002D1C2D">
        <w:rPr>
          <w:rFonts w:ascii="Times New Roman" w:hAnsi="Times New Roman" w:cs="Times New Roman"/>
          <w:b/>
          <w:bCs/>
        </w:rPr>
        <w:t>.</w:t>
      </w:r>
      <w:r w:rsidR="001D67A7" w:rsidRPr="002D1C2D">
        <w:rPr>
          <w:rFonts w:ascii="Times New Roman" w:hAnsi="Times New Roman" w:cs="Times New Roman"/>
          <w:b/>
          <w:bCs/>
        </w:rPr>
        <w:t>Ф</w:t>
      </w:r>
      <w:proofErr w:type="gramEnd"/>
      <w:r w:rsidR="001D67A7" w:rsidRPr="002D1C2D">
        <w:rPr>
          <w:rFonts w:ascii="Times New Roman" w:hAnsi="Times New Roman" w:cs="Times New Roman"/>
          <w:b/>
          <w:bCs/>
        </w:rPr>
        <w:t>МС</w:t>
      </w:r>
      <w:proofErr w:type="spellEnd"/>
      <w:r w:rsidRPr="002D1C2D">
        <w:rPr>
          <w:rFonts w:ascii="Times New Roman" w:hAnsi="Times New Roman" w:cs="Times New Roman"/>
          <w:b/>
          <w:bCs/>
        </w:rPr>
        <w:t>». Прайс-лист</w:t>
      </w:r>
    </w:p>
    <w:p w:rsidR="00AC2F7F" w:rsidRPr="002D1C2D" w:rsidRDefault="00AC2F7F" w:rsidP="00FF0804">
      <w:pPr>
        <w:spacing w:after="0" w:line="240" w:lineRule="auto"/>
        <w:rPr>
          <w:rFonts w:ascii="Times New Roman" w:hAnsi="Times New Roman" w:cs="Times New Roman"/>
        </w:rPr>
      </w:pPr>
    </w:p>
    <w:p w:rsidR="00AC2F7F" w:rsidRPr="002D1C2D" w:rsidRDefault="00AC2F7F" w:rsidP="00FF08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D1C2D">
        <w:rPr>
          <w:rFonts w:ascii="Times New Roman" w:hAnsi="Times New Roman" w:cs="Times New Roman"/>
          <w:sz w:val="20"/>
        </w:rPr>
        <w:t xml:space="preserve">Действительно с </w:t>
      </w:r>
      <w:r w:rsidR="005E0D55">
        <w:rPr>
          <w:rFonts w:ascii="Times New Roman" w:hAnsi="Times New Roman" w:cs="Times New Roman"/>
          <w:sz w:val="20"/>
        </w:rPr>
        <w:t>01 июля</w:t>
      </w:r>
      <w:r w:rsidR="002D1C2D" w:rsidRPr="002D1C2D">
        <w:rPr>
          <w:rFonts w:ascii="Times New Roman" w:hAnsi="Times New Roman" w:cs="Times New Roman"/>
          <w:sz w:val="20"/>
        </w:rPr>
        <w:t xml:space="preserve"> 2015</w:t>
      </w:r>
      <w:r w:rsidRPr="002D1C2D">
        <w:rPr>
          <w:rFonts w:ascii="Times New Roman" w:hAnsi="Times New Roman" w:cs="Times New Roman"/>
          <w:sz w:val="20"/>
        </w:rPr>
        <w:t xml:space="preserve"> г.</w:t>
      </w:r>
    </w:p>
    <w:p w:rsidR="002D1C2D" w:rsidRPr="002D1C2D" w:rsidRDefault="00472936" w:rsidP="00C41B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Тарифные планы</w:t>
      </w:r>
    </w:p>
    <w:tbl>
      <w:tblPr>
        <w:tblStyle w:val="a3"/>
        <w:tblW w:w="9570" w:type="dxa"/>
        <w:tblLook w:val="04A0"/>
      </w:tblPr>
      <w:tblGrid>
        <w:gridCol w:w="562"/>
        <w:gridCol w:w="1976"/>
        <w:gridCol w:w="2258"/>
        <w:gridCol w:w="1592"/>
        <w:gridCol w:w="1592"/>
        <w:gridCol w:w="1590"/>
      </w:tblGrid>
      <w:tr w:rsidR="005E0D55" w:rsidTr="005E0D55">
        <w:tc>
          <w:tcPr>
            <w:tcW w:w="562" w:type="dxa"/>
            <w:vMerge w:val="restart"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1976" w:type="dxa"/>
            <w:vMerge w:val="restart"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2258" w:type="dxa"/>
            <w:vMerge w:val="restart"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4774" w:type="dxa"/>
            <w:gridSpan w:val="3"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Стоимость,</w:t>
            </w:r>
            <w:r w:rsidRPr="002D1C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D1C2D">
              <w:rPr>
                <w:rFonts w:ascii="Times New Roman" w:hAnsi="Times New Roman" w:cs="Times New Roman"/>
              </w:rPr>
              <w:t>в руб.</w:t>
            </w:r>
          </w:p>
        </w:tc>
      </w:tr>
      <w:tr w:rsidR="005E0D55" w:rsidTr="005E0D55">
        <w:tc>
          <w:tcPr>
            <w:tcW w:w="562" w:type="dxa"/>
            <w:vMerge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592" w:type="dxa"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590" w:type="dxa"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1 год</w:t>
            </w:r>
          </w:p>
        </w:tc>
      </w:tr>
      <w:tr w:rsidR="00ED4BA0" w:rsidTr="00312FEC">
        <w:tc>
          <w:tcPr>
            <w:tcW w:w="562" w:type="dxa"/>
            <w:vMerge w:val="restart"/>
            <w:vAlign w:val="center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dxa"/>
            <w:vMerge w:val="restart"/>
            <w:vAlign w:val="center"/>
          </w:tcPr>
          <w:p w:rsidR="00ED4BA0" w:rsidRDefault="00ED4BA0" w:rsidP="005E0D55">
            <w:pPr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До 10 (включительно)</w:t>
            </w:r>
          </w:p>
        </w:tc>
        <w:tc>
          <w:tcPr>
            <w:tcW w:w="2258" w:type="dxa"/>
            <w:vAlign w:val="center"/>
          </w:tcPr>
          <w:p w:rsidR="00ED4BA0" w:rsidRDefault="00ED4BA0" w:rsidP="005E0D55">
            <w:pPr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основное</w:t>
            </w:r>
          </w:p>
        </w:tc>
        <w:tc>
          <w:tcPr>
            <w:tcW w:w="1592" w:type="dxa"/>
            <w:vAlign w:val="bottom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ED4BA0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592" w:type="dxa"/>
            <w:vAlign w:val="bottom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ED4BA0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590" w:type="dxa"/>
            <w:vAlign w:val="center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7 000</w:t>
            </w:r>
          </w:p>
        </w:tc>
      </w:tr>
      <w:tr w:rsidR="005E0D55" w:rsidTr="005E0D55">
        <w:tc>
          <w:tcPr>
            <w:tcW w:w="562" w:type="dxa"/>
            <w:vMerge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vAlign w:val="center"/>
          </w:tcPr>
          <w:p w:rsidR="005E0D55" w:rsidRDefault="005E0D55" w:rsidP="005E0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Align w:val="center"/>
          </w:tcPr>
          <w:p w:rsidR="005E0D55" w:rsidRDefault="005E0D55" w:rsidP="005E0D55">
            <w:pPr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дополнительное</w:t>
            </w:r>
          </w:p>
        </w:tc>
        <w:tc>
          <w:tcPr>
            <w:tcW w:w="4774" w:type="dxa"/>
            <w:gridSpan w:val="3"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500 за 1 месяц</w:t>
            </w:r>
          </w:p>
        </w:tc>
      </w:tr>
      <w:tr w:rsidR="00ED4BA0" w:rsidTr="00B90142">
        <w:tc>
          <w:tcPr>
            <w:tcW w:w="562" w:type="dxa"/>
            <w:vMerge w:val="restart"/>
            <w:vAlign w:val="center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  <w:vMerge w:val="restart"/>
            <w:vAlign w:val="center"/>
          </w:tcPr>
          <w:p w:rsidR="00ED4BA0" w:rsidRDefault="00ED4BA0" w:rsidP="005E0D55">
            <w:pPr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От 11 до 30 (включительно)</w:t>
            </w:r>
          </w:p>
        </w:tc>
        <w:tc>
          <w:tcPr>
            <w:tcW w:w="2258" w:type="dxa"/>
            <w:vAlign w:val="center"/>
          </w:tcPr>
          <w:p w:rsidR="00ED4BA0" w:rsidRDefault="00ED4BA0" w:rsidP="005E0D55">
            <w:pPr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основное</w:t>
            </w:r>
          </w:p>
        </w:tc>
        <w:tc>
          <w:tcPr>
            <w:tcW w:w="1592" w:type="dxa"/>
            <w:vAlign w:val="bottom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ED4BA0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592" w:type="dxa"/>
            <w:vAlign w:val="bottom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ED4BA0"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1590" w:type="dxa"/>
            <w:vAlign w:val="center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12 000</w:t>
            </w:r>
          </w:p>
        </w:tc>
      </w:tr>
      <w:tr w:rsidR="005E0D55" w:rsidTr="005E0D55">
        <w:tc>
          <w:tcPr>
            <w:tcW w:w="562" w:type="dxa"/>
            <w:vMerge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vAlign w:val="center"/>
          </w:tcPr>
          <w:p w:rsidR="005E0D55" w:rsidRDefault="005E0D55" w:rsidP="005E0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Align w:val="center"/>
          </w:tcPr>
          <w:p w:rsidR="005E0D55" w:rsidRDefault="005E0D55" w:rsidP="005E0D55">
            <w:pPr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дополнительное</w:t>
            </w:r>
          </w:p>
        </w:tc>
        <w:tc>
          <w:tcPr>
            <w:tcW w:w="4774" w:type="dxa"/>
            <w:gridSpan w:val="3"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800 за 1 месяц</w:t>
            </w:r>
          </w:p>
        </w:tc>
      </w:tr>
      <w:tr w:rsidR="00ED4BA0" w:rsidTr="007C0BFB">
        <w:tc>
          <w:tcPr>
            <w:tcW w:w="562" w:type="dxa"/>
            <w:vMerge w:val="restart"/>
            <w:vAlign w:val="center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6" w:type="dxa"/>
            <w:vMerge w:val="restart"/>
            <w:vAlign w:val="center"/>
          </w:tcPr>
          <w:p w:rsidR="00ED4BA0" w:rsidRDefault="00ED4BA0" w:rsidP="00CD0416">
            <w:pPr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 xml:space="preserve">От </w:t>
            </w:r>
            <w:r w:rsidR="00CD0416">
              <w:rPr>
                <w:rFonts w:ascii="Times New Roman" w:hAnsi="Times New Roman" w:cs="Times New Roman"/>
              </w:rPr>
              <w:t>3</w:t>
            </w:r>
            <w:r w:rsidRPr="002D1C2D">
              <w:rPr>
                <w:rFonts w:ascii="Times New Roman" w:hAnsi="Times New Roman" w:cs="Times New Roman"/>
              </w:rPr>
              <w:t xml:space="preserve">1 до </w:t>
            </w:r>
            <w:r w:rsidR="00CD0416">
              <w:rPr>
                <w:rFonts w:ascii="Times New Roman" w:hAnsi="Times New Roman" w:cs="Times New Roman"/>
              </w:rPr>
              <w:t>10</w:t>
            </w:r>
            <w:r w:rsidRPr="002D1C2D">
              <w:rPr>
                <w:rFonts w:ascii="Times New Roman" w:hAnsi="Times New Roman" w:cs="Times New Roman"/>
              </w:rPr>
              <w:t>0 (включительно)</w:t>
            </w:r>
          </w:p>
        </w:tc>
        <w:tc>
          <w:tcPr>
            <w:tcW w:w="2258" w:type="dxa"/>
            <w:vAlign w:val="center"/>
          </w:tcPr>
          <w:p w:rsidR="00ED4BA0" w:rsidRDefault="00ED4BA0" w:rsidP="005E0D55">
            <w:pPr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основное</w:t>
            </w:r>
          </w:p>
        </w:tc>
        <w:tc>
          <w:tcPr>
            <w:tcW w:w="1592" w:type="dxa"/>
            <w:vAlign w:val="bottom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ED4BA0"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1592" w:type="dxa"/>
            <w:vAlign w:val="bottom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ED4BA0">
              <w:rPr>
                <w:rFonts w:ascii="Times New Roman" w:hAnsi="Times New Roman" w:cs="Times New Roman"/>
              </w:rPr>
              <w:t>13600</w:t>
            </w:r>
          </w:p>
        </w:tc>
        <w:tc>
          <w:tcPr>
            <w:tcW w:w="1590" w:type="dxa"/>
            <w:vAlign w:val="center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17 000</w:t>
            </w:r>
          </w:p>
        </w:tc>
      </w:tr>
      <w:tr w:rsidR="005E0D55" w:rsidTr="005E0D55">
        <w:tc>
          <w:tcPr>
            <w:tcW w:w="562" w:type="dxa"/>
            <w:vMerge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vAlign w:val="center"/>
          </w:tcPr>
          <w:p w:rsidR="005E0D55" w:rsidRDefault="005E0D55" w:rsidP="005E0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Align w:val="center"/>
          </w:tcPr>
          <w:p w:rsidR="005E0D55" w:rsidRDefault="005E0D55" w:rsidP="005E0D55">
            <w:pPr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дополнительное</w:t>
            </w:r>
          </w:p>
        </w:tc>
        <w:tc>
          <w:tcPr>
            <w:tcW w:w="4774" w:type="dxa"/>
            <w:gridSpan w:val="3"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1000 за 1 месяц</w:t>
            </w:r>
          </w:p>
        </w:tc>
      </w:tr>
      <w:tr w:rsidR="00ED4BA0" w:rsidTr="008D34F8">
        <w:tc>
          <w:tcPr>
            <w:tcW w:w="562" w:type="dxa"/>
            <w:vMerge w:val="restart"/>
            <w:vAlign w:val="center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6" w:type="dxa"/>
            <w:vMerge w:val="restart"/>
            <w:vAlign w:val="center"/>
          </w:tcPr>
          <w:p w:rsidR="00ED4BA0" w:rsidRDefault="00ED4BA0" w:rsidP="005E0D55">
            <w:pPr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2258" w:type="dxa"/>
            <w:vAlign w:val="center"/>
          </w:tcPr>
          <w:p w:rsidR="00ED4BA0" w:rsidRDefault="00ED4BA0" w:rsidP="005E0D55">
            <w:pPr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основное</w:t>
            </w:r>
          </w:p>
        </w:tc>
        <w:tc>
          <w:tcPr>
            <w:tcW w:w="1592" w:type="dxa"/>
            <w:vAlign w:val="bottom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ED4BA0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92" w:type="dxa"/>
            <w:vAlign w:val="bottom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ED4BA0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590" w:type="dxa"/>
            <w:vAlign w:val="center"/>
          </w:tcPr>
          <w:p w:rsidR="00ED4BA0" w:rsidRDefault="00ED4BA0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25 000</w:t>
            </w:r>
          </w:p>
        </w:tc>
      </w:tr>
      <w:tr w:rsidR="005E0D55" w:rsidTr="005E0D55">
        <w:tc>
          <w:tcPr>
            <w:tcW w:w="562" w:type="dxa"/>
            <w:vMerge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vAlign w:val="center"/>
          </w:tcPr>
          <w:p w:rsidR="005E0D55" w:rsidRDefault="005E0D55" w:rsidP="005E0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Align w:val="center"/>
          </w:tcPr>
          <w:p w:rsidR="005E0D55" w:rsidRDefault="005E0D55" w:rsidP="005E0D55">
            <w:pPr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дополнительное</w:t>
            </w:r>
          </w:p>
        </w:tc>
        <w:tc>
          <w:tcPr>
            <w:tcW w:w="4774" w:type="dxa"/>
            <w:gridSpan w:val="3"/>
            <w:vAlign w:val="center"/>
          </w:tcPr>
          <w:p w:rsidR="005E0D55" w:rsidRDefault="005E0D55" w:rsidP="005E0D55">
            <w:pPr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1500 за 1 месяц</w:t>
            </w:r>
          </w:p>
        </w:tc>
      </w:tr>
    </w:tbl>
    <w:p w:rsidR="005E0D55" w:rsidRPr="002D1C2D" w:rsidRDefault="005E0D55" w:rsidP="00C41B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C2D" w:rsidRPr="002D1C2D" w:rsidRDefault="002D1C2D" w:rsidP="00C4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C2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Квалифицированный сертификат</w:t>
      </w:r>
      <w:r w:rsidR="00CD041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дополнительные услуги </w:t>
      </w:r>
    </w:p>
    <w:tbl>
      <w:tblPr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7343"/>
        <w:gridCol w:w="1665"/>
      </w:tblGrid>
      <w:tr w:rsidR="00AC2F7F" w:rsidRPr="002D1C2D" w:rsidTr="00CD041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7F" w:rsidRPr="002D1C2D" w:rsidRDefault="00AC2F7F" w:rsidP="00FF0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7F" w:rsidRPr="002D1C2D" w:rsidRDefault="00AC2F7F" w:rsidP="00FF08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1C2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F7F" w:rsidRPr="002D1C2D" w:rsidRDefault="00AC2F7F" w:rsidP="00C41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Стоимость,</w:t>
            </w:r>
            <w:r w:rsidR="00C41B44" w:rsidRPr="002D1C2D">
              <w:rPr>
                <w:rFonts w:ascii="Times New Roman" w:hAnsi="Times New Roman" w:cs="Times New Roman"/>
              </w:rPr>
              <w:t xml:space="preserve"> </w:t>
            </w:r>
            <w:r w:rsidRPr="002D1C2D">
              <w:rPr>
                <w:rFonts w:ascii="Times New Roman" w:hAnsi="Times New Roman" w:cs="Times New Roman"/>
              </w:rPr>
              <w:t>в руб.</w:t>
            </w:r>
          </w:p>
        </w:tc>
      </w:tr>
      <w:tr w:rsidR="00BB0F92" w:rsidRPr="002D1C2D" w:rsidTr="00CD041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F92" w:rsidRPr="002D1C2D" w:rsidRDefault="002D1C2D" w:rsidP="0069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F92" w:rsidRPr="002D1C2D" w:rsidRDefault="00CD0416" w:rsidP="0069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Квалифицированный сертификат на носителе, в том числе: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F92" w:rsidRPr="002D1C2D" w:rsidRDefault="00CD0416" w:rsidP="0069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B0F92" w:rsidRPr="002D1C2D">
              <w:rPr>
                <w:rFonts w:ascii="Times New Roman" w:eastAsia="Times New Roman" w:hAnsi="Times New Roman" w:cs="Times New Roman"/>
                <w:lang w:eastAsia="ru-RU"/>
              </w:rPr>
              <w:t xml:space="preserve"> 300</w:t>
            </w:r>
          </w:p>
        </w:tc>
      </w:tr>
      <w:tr w:rsidR="00CD0416" w:rsidRPr="002D1C2D" w:rsidTr="00CD041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Default="00CD0416" w:rsidP="0069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B1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 xml:space="preserve">Изготовление квалифицированного сертификата сроком 1 год с выдачей защищенного носителя </w:t>
            </w:r>
            <w:proofErr w:type="spellStart"/>
            <w:r w:rsidRPr="002D1C2D">
              <w:rPr>
                <w:rFonts w:ascii="Times New Roman" w:hAnsi="Times New Roman" w:cs="Times New Roman"/>
              </w:rPr>
              <w:t>Рутокен</w:t>
            </w:r>
            <w:proofErr w:type="spellEnd"/>
            <w:r w:rsidRPr="002D1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2D">
              <w:rPr>
                <w:rFonts w:ascii="Times New Roman" w:hAnsi="Times New Roman" w:cs="Times New Roman"/>
              </w:rPr>
              <w:t>Лайт</w:t>
            </w:r>
            <w:proofErr w:type="spellEnd"/>
          </w:p>
          <w:p w:rsidR="00CD0416" w:rsidRPr="002D1C2D" w:rsidRDefault="00CD0416" w:rsidP="0069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(для пользователей «</w:t>
            </w:r>
            <w:proofErr w:type="spellStart"/>
            <w:r w:rsidRPr="002D1C2D">
              <w:rPr>
                <w:rFonts w:ascii="Times New Roman" w:hAnsi="Times New Roman" w:cs="Times New Roman"/>
              </w:rPr>
              <w:t>Контур</w:t>
            </w:r>
            <w:proofErr w:type="gramStart"/>
            <w:r w:rsidRPr="002D1C2D">
              <w:rPr>
                <w:rFonts w:ascii="Times New Roman" w:hAnsi="Times New Roman" w:cs="Times New Roman"/>
              </w:rPr>
              <w:t>.Ф</w:t>
            </w:r>
            <w:proofErr w:type="gramEnd"/>
            <w:r w:rsidRPr="002D1C2D">
              <w:rPr>
                <w:rFonts w:ascii="Times New Roman" w:hAnsi="Times New Roman" w:cs="Times New Roman"/>
              </w:rPr>
              <w:t>МС</w:t>
            </w:r>
            <w:proofErr w:type="spellEnd"/>
            <w:r w:rsidRPr="002D1C2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69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2D">
              <w:rPr>
                <w:rFonts w:ascii="Times New Roman" w:eastAsia="Times New Roman" w:hAnsi="Times New Roman" w:cs="Times New Roman"/>
                <w:lang w:eastAsia="ru-RU"/>
              </w:rPr>
              <w:t>2 300</w:t>
            </w:r>
          </w:p>
        </w:tc>
      </w:tr>
      <w:tr w:rsidR="00CD0416" w:rsidRPr="002D1C2D" w:rsidTr="00CD041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Default="00CD0416" w:rsidP="0069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69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Лицензия на право использования СКЗИ «</w:t>
            </w:r>
            <w:proofErr w:type="spellStart"/>
            <w:r w:rsidRPr="002D1C2D">
              <w:rPr>
                <w:rFonts w:ascii="Times New Roman" w:hAnsi="Times New Roman" w:cs="Times New Roman"/>
              </w:rPr>
              <w:t>КриптоПро</w:t>
            </w:r>
            <w:proofErr w:type="spellEnd"/>
            <w:r w:rsidRPr="002D1C2D">
              <w:rPr>
                <w:rFonts w:ascii="Times New Roman" w:hAnsi="Times New Roman" w:cs="Times New Roman"/>
              </w:rPr>
              <w:t xml:space="preserve"> CSP» в составе сертификата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69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2D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CD0416" w:rsidRPr="002D1C2D" w:rsidTr="00CD041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FE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Default="00CD0416" w:rsidP="00BB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Квалифицированный сертификат на носителе, в том числе:</w:t>
            </w:r>
          </w:p>
          <w:p w:rsidR="00CD0416" w:rsidRPr="002D1C2D" w:rsidRDefault="00CD0416" w:rsidP="00BB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D1C2D">
              <w:rPr>
                <w:rFonts w:ascii="Times New Roman" w:hAnsi="Times New Roman" w:cs="Times New Roman"/>
              </w:rPr>
              <w:t>для клиентов на территории Москвы и Московской области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FE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D1C2D">
              <w:rPr>
                <w:rFonts w:ascii="Times New Roman" w:eastAsia="Times New Roman" w:hAnsi="Times New Roman" w:cs="Times New Roman"/>
                <w:lang w:eastAsia="ru-RU"/>
              </w:rPr>
              <w:t xml:space="preserve"> 800</w:t>
            </w:r>
          </w:p>
        </w:tc>
      </w:tr>
      <w:tr w:rsidR="00CD0416" w:rsidRPr="002D1C2D" w:rsidTr="00CD041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Default="00CD0416" w:rsidP="00B12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B1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 xml:space="preserve">Изготовление квалифицированного сертификата сроком 1 год с выдачей защищенного носителя </w:t>
            </w:r>
            <w:proofErr w:type="spellStart"/>
            <w:r w:rsidRPr="002D1C2D">
              <w:rPr>
                <w:rFonts w:ascii="Times New Roman" w:hAnsi="Times New Roman" w:cs="Times New Roman"/>
              </w:rPr>
              <w:t>Рутокен</w:t>
            </w:r>
            <w:proofErr w:type="spellEnd"/>
            <w:r w:rsidRPr="002D1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C2D">
              <w:rPr>
                <w:rFonts w:ascii="Times New Roman" w:hAnsi="Times New Roman" w:cs="Times New Roman"/>
              </w:rPr>
              <w:t>Лайт</w:t>
            </w:r>
            <w:proofErr w:type="spellEnd"/>
          </w:p>
          <w:p w:rsidR="00CD0416" w:rsidRPr="002D1C2D" w:rsidRDefault="00CD0416" w:rsidP="00B1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(для пользователей «</w:t>
            </w:r>
            <w:proofErr w:type="spellStart"/>
            <w:r w:rsidRPr="002D1C2D">
              <w:rPr>
                <w:rFonts w:ascii="Times New Roman" w:hAnsi="Times New Roman" w:cs="Times New Roman"/>
              </w:rPr>
              <w:t>Контур</w:t>
            </w:r>
            <w:proofErr w:type="gramStart"/>
            <w:r w:rsidRPr="002D1C2D">
              <w:rPr>
                <w:rFonts w:ascii="Times New Roman" w:hAnsi="Times New Roman" w:cs="Times New Roman"/>
              </w:rPr>
              <w:t>.Ф</w:t>
            </w:r>
            <w:proofErr w:type="gramEnd"/>
            <w:r w:rsidRPr="002D1C2D">
              <w:rPr>
                <w:rFonts w:ascii="Times New Roman" w:hAnsi="Times New Roman" w:cs="Times New Roman"/>
              </w:rPr>
              <w:t>МС</w:t>
            </w:r>
            <w:proofErr w:type="spellEnd"/>
            <w:r w:rsidRPr="002D1C2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C2D">
              <w:rPr>
                <w:rFonts w:ascii="Times New Roman" w:hAnsi="Times New Roman" w:cs="Times New Roman"/>
              </w:rPr>
              <w:t>на территории Москвы и Московской области)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CD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2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D1C2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CD0416" w:rsidRPr="002D1C2D" w:rsidTr="00CD041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Default="00CD0416" w:rsidP="00B12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B1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Лицензия на право использования СКЗИ «</w:t>
            </w:r>
            <w:proofErr w:type="spellStart"/>
            <w:r w:rsidRPr="002D1C2D">
              <w:rPr>
                <w:rFonts w:ascii="Times New Roman" w:hAnsi="Times New Roman" w:cs="Times New Roman"/>
              </w:rPr>
              <w:t>КриптоПро</w:t>
            </w:r>
            <w:proofErr w:type="spellEnd"/>
            <w:r w:rsidRPr="002D1C2D">
              <w:rPr>
                <w:rFonts w:ascii="Times New Roman" w:hAnsi="Times New Roman" w:cs="Times New Roman"/>
              </w:rPr>
              <w:t xml:space="preserve"> CSP» в составе сертификата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B1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2D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CD0416" w:rsidRPr="002D1C2D" w:rsidTr="00CD041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B12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CD0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Квалифицированный сертификат, в том числе: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B12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1C2D">
              <w:rPr>
                <w:rFonts w:ascii="Times New Roman" w:eastAsia="Times New Roman" w:hAnsi="Times New Roman" w:cs="Times New Roman"/>
                <w:lang w:eastAsia="ru-RU"/>
              </w:rPr>
              <w:t xml:space="preserve"> 300</w:t>
            </w:r>
          </w:p>
        </w:tc>
      </w:tr>
      <w:tr w:rsidR="00CD0416" w:rsidRPr="002D1C2D" w:rsidTr="00CD041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FE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BB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Изготовление квалифицированного сертификата сроком 1 год</w:t>
            </w:r>
          </w:p>
          <w:p w:rsidR="00CD0416" w:rsidRPr="002D1C2D" w:rsidRDefault="00CD0416" w:rsidP="00BB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(для пользователей «</w:t>
            </w:r>
            <w:proofErr w:type="spellStart"/>
            <w:r w:rsidRPr="002D1C2D">
              <w:rPr>
                <w:rFonts w:ascii="Times New Roman" w:hAnsi="Times New Roman" w:cs="Times New Roman"/>
              </w:rPr>
              <w:t>Контур</w:t>
            </w:r>
            <w:proofErr w:type="gramStart"/>
            <w:r w:rsidRPr="002D1C2D">
              <w:rPr>
                <w:rFonts w:ascii="Times New Roman" w:hAnsi="Times New Roman" w:cs="Times New Roman"/>
              </w:rPr>
              <w:t>.Ф</w:t>
            </w:r>
            <w:proofErr w:type="gramEnd"/>
            <w:r w:rsidRPr="002D1C2D">
              <w:rPr>
                <w:rFonts w:ascii="Times New Roman" w:hAnsi="Times New Roman" w:cs="Times New Roman"/>
              </w:rPr>
              <w:t>МС</w:t>
            </w:r>
            <w:proofErr w:type="spellEnd"/>
            <w:r w:rsidRPr="002D1C2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751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eastAsia="Times New Roman" w:hAnsi="Times New Roman" w:cs="Times New Roman"/>
                <w:lang w:eastAsia="ru-RU"/>
              </w:rPr>
              <w:t>1 300</w:t>
            </w:r>
          </w:p>
        </w:tc>
      </w:tr>
      <w:tr w:rsidR="00CD0416" w:rsidRPr="002D1C2D" w:rsidTr="00CD041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Default="00CD0416" w:rsidP="00B12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B1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C2D">
              <w:rPr>
                <w:rFonts w:ascii="Times New Roman" w:hAnsi="Times New Roman" w:cs="Times New Roman"/>
              </w:rPr>
              <w:t>Лицензия на право использования СКЗИ «</w:t>
            </w:r>
            <w:proofErr w:type="spellStart"/>
            <w:r w:rsidRPr="002D1C2D">
              <w:rPr>
                <w:rFonts w:ascii="Times New Roman" w:hAnsi="Times New Roman" w:cs="Times New Roman"/>
              </w:rPr>
              <w:t>КриптоПро</w:t>
            </w:r>
            <w:proofErr w:type="spellEnd"/>
            <w:r w:rsidRPr="002D1C2D">
              <w:rPr>
                <w:rFonts w:ascii="Times New Roman" w:hAnsi="Times New Roman" w:cs="Times New Roman"/>
              </w:rPr>
              <w:t xml:space="preserve"> CSP» в составе сертификата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B1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2D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CD0416" w:rsidRPr="002D1C2D" w:rsidTr="00CD041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Default="00CD0416" w:rsidP="00FE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2D1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Выезд специалиста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FE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BC">
              <w:rPr>
                <w:rFonts w:ascii="Times New Roman" w:eastAsia="Calibri" w:hAnsi="Times New Roman" w:cs="Times New Roman"/>
                <w:sz w:val="18"/>
              </w:rPr>
              <w:t>уточните в сервисном центре</w:t>
            </w:r>
          </w:p>
        </w:tc>
      </w:tr>
      <w:tr w:rsidR="00CD0416" w:rsidRPr="002D1C2D" w:rsidTr="00CD0416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Default="00CD0416" w:rsidP="00FE0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2D1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FBC">
              <w:rPr>
                <w:rFonts w:ascii="Times New Roman" w:eastAsia="Calibri" w:hAnsi="Times New Roman" w:cs="Times New Roman"/>
              </w:rPr>
              <w:t>Настройка одного рабочего места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16" w:rsidRPr="002D1C2D" w:rsidRDefault="00CD0416" w:rsidP="00FE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FBC">
              <w:rPr>
                <w:rFonts w:ascii="Times New Roman" w:eastAsia="Calibri" w:hAnsi="Times New Roman" w:cs="Times New Roman"/>
                <w:sz w:val="18"/>
              </w:rPr>
              <w:t>уточните в сервисном центре</w:t>
            </w:r>
          </w:p>
        </w:tc>
      </w:tr>
    </w:tbl>
    <w:p w:rsidR="00AC2F7F" w:rsidRPr="002D1C2D" w:rsidRDefault="00AC2F7F" w:rsidP="00FF080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D1C2D">
        <w:rPr>
          <w:rFonts w:ascii="Times New Roman" w:hAnsi="Times New Roman" w:cs="Times New Roman"/>
        </w:rPr>
        <w:t>Стоимость указана в рублях Российской Федерации и включает НДС, исчисленный по ставке 18%.</w:t>
      </w:r>
    </w:p>
    <w:p w:rsidR="00AC2F7F" w:rsidRPr="002D1C2D" w:rsidRDefault="00C05A24" w:rsidP="00FF080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1C2D">
        <w:rPr>
          <w:rFonts w:ascii="Times New Roman" w:hAnsi="Times New Roman" w:cs="Times New Roman"/>
        </w:rPr>
        <w:t>Право использования программы для ЭВМ «</w:t>
      </w:r>
      <w:proofErr w:type="spellStart"/>
      <w:r w:rsidRPr="002D1C2D">
        <w:rPr>
          <w:rFonts w:ascii="Times New Roman" w:hAnsi="Times New Roman" w:cs="Times New Roman"/>
        </w:rPr>
        <w:t>Контур</w:t>
      </w:r>
      <w:proofErr w:type="gramStart"/>
      <w:r w:rsidRPr="002D1C2D">
        <w:rPr>
          <w:rFonts w:ascii="Times New Roman" w:hAnsi="Times New Roman" w:cs="Times New Roman"/>
        </w:rPr>
        <w:t>.</w:t>
      </w:r>
      <w:r w:rsidR="00E516BC" w:rsidRPr="002D1C2D">
        <w:rPr>
          <w:rFonts w:ascii="Times New Roman" w:hAnsi="Times New Roman" w:cs="Times New Roman"/>
        </w:rPr>
        <w:t>Ф</w:t>
      </w:r>
      <w:proofErr w:type="gramEnd"/>
      <w:r w:rsidR="00E516BC" w:rsidRPr="002D1C2D">
        <w:rPr>
          <w:rFonts w:ascii="Times New Roman" w:hAnsi="Times New Roman" w:cs="Times New Roman"/>
        </w:rPr>
        <w:t>МС</w:t>
      </w:r>
      <w:proofErr w:type="spellEnd"/>
      <w:r w:rsidRPr="002D1C2D">
        <w:rPr>
          <w:rFonts w:ascii="Times New Roman" w:hAnsi="Times New Roman" w:cs="Times New Roman"/>
        </w:rPr>
        <w:t>», л</w:t>
      </w:r>
      <w:r w:rsidR="00AC2F7F" w:rsidRPr="002D1C2D">
        <w:rPr>
          <w:rFonts w:ascii="Times New Roman" w:hAnsi="Times New Roman" w:cs="Times New Roman"/>
        </w:rPr>
        <w:t>ицензи</w:t>
      </w:r>
      <w:r w:rsidRPr="002D1C2D">
        <w:rPr>
          <w:rFonts w:ascii="Times New Roman" w:hAnsi="Times New Roman" w:cs="Times New Roman"/>
        </w:rPr>
        <w:t>я</w:t>
      </w:r>
      <w:r w:rsidR="00AC2F7F" w:rsidRPr="002D1C2D">
        <w:rPr>
          <w:rFonts w:ascii="Times New Roman" w:hAnsi="Times New Roman" w:cs="Times New Roman"/>
        </w:rPr>
        <w:t xml:space="preserve"> на право использовани</w:t>
      </w:r>
      <w:r w:rsidRPr="002D1C2D">
        <w:rPr>
          <w:rFonts w:ascii="Times New Roman" w:hAnsi="Times New Roman" w:cs="Times New Roman"/>
        </w:rPr>
        <w:t>я СКЗИ «</w:t>
      </w:r>
      <w:proofErr w:type="spellStart"/>
      <w:r w:rsidRPr="002D1C2D">
        <w:rPr>
          <w:rFonts w:ascii="Times New Roman" w:hAnsi="Times New Roman" w:cs="Times New Roman"/>
        </w:rPr>
        <w:t>КриптоПро</w:t>
      </w:r>
      <w:proofErr w:type="spellEnd"/>
      <w:r w:rsidRPr="002D1C2D">
        <w:rPr>
          <w:rFonts w:ascii="Times New Roman" w:hAnsi="Times New Roman" w:cs="Times New Roman"/>
        </w:rPr>
        <w:t xml:space="preserve"> CSP»</w:t>
      </w:r>
      <w:r w:rsidR="00AC2F7F" w:rsidRPr="002D1C2D">
        <w:rPr>
          <w:rFonts w:ascii="Times New Roman" w:hAnsi="Times New Roman" w:cs="Times New Roman"/>
        </w:rPr>
        <w:t xml:space="preserve"> НДС не облагаются на основании подпункта 26 пункта 2 статьи 149 Налогового кодекса Российской Федерации.</w:t>
      </w:r>
    </w:p>
    <w:p w:rsidR="00AC2F7F" w:rsidRPr="002D1C2D" w:rsidRDefault="00AC2F7F" w:rsidP="00FF08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2F7F" w:rsidRPr="002D1C2D" w:rsidRDefault="00AC2F7F" w:rsidP="00FF08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1C2D">
        <w:rPr>
          <w:rFonts w:ascii="Times New Roman" w:hAnsi="Times New Roman" w:cs="Times New Roman"/>
          <w:b/>
        </w:rPr>
        <w:t>Примечание.</w:t>
      </w:r>
    </w:p>
    <w:p w:rsidR="00BB0F92" w:rsidRPr="002D1C2D" w:rsidRDefault="00BB0F92" w:rsidP="00FF080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1C2D">
        <w:rPr>
          <w:rFonts w:ascii="Times New Roman" w:hAnsi="Times New Roman" w:cs="Times New Roman"/>
        </w:rPr>
        <w:t>Для каждого объекта</w:t>
      </w:r>
      <w:r w:rsidR="0018561D">
        <w:rPr>
          <w:rFonts w:ascii="Times New Roman" w:hAnsi="Times New Roman" w:cs="Times New Roman"/>
        </w:rPr>
        <w:t xml:space="preserve"> размещения</w:t>
      </w:r>
      <w:r w:rsidRPr="002D1C2D">
        <w:rPr>
          <w:rFonts w:ascii="Times New Roman" w:hAnsi="Times New Roman" w:cs="Times New Roman"/>
        </w:rPr>
        <w:t>, обладающего уникальной комбинацией наименование – адрес</w:t>
      </w:r>
      <w:r w:rsidR="00DA04D7" w:rsidRPr="002D1C2D">
        <w:rPr>
          <w:rFonts w:ascii="Times New Roman" w:hAnsi="Times New Roman" w:cs="Times New Roman"/>
        </w:rPr>
        <w:t xml:space="preserve"> расположения</w:t>
      </w:r>
      <w:r w:rsidRPr="002D1C2D">
        <w:rPr>
          <w:rFonts w:ascii="Times New Roman" w:hAnsi="Times New Roman" w:cs="Times New Roman"/>
        </w:rPr>
        <w:t>, приобре</w:t>
      </w:r>
      <w:r w:rsidR="00472936">
        <w:rPr>
          <w:rFonts w:ascii="Times New Roman" w:hAnsi="Times New Roman" w:cs="Times New Roman"/>
        </w:rPr>
        <w:t>тается отдельный тарифный план</w:t>
      </w:r>
      <w:r w:rsidRPr="002D1C2D">
        <w:rPr>
          <w:rFonts w:ascii="Times New Roman" w:hAnsi="Times New Roman" w:cs="Times New Roman"/>
        </w:rPr>
        <w:t>.</w:t>
      </w:r>
    </w:p>
    <w:p w:rsidR="00013797" w:rsidRPr="002D1C2D" w:rsidRDefault="00375979" w:rsidP="00FF080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1C2D">
        <w:rPr>
          <w:rFonts w:ascii="Times New Roman" w:hAnsi="Times New Roman" w:cs="Times New Roman"/>
        </w:rPr>
        <w:t>Тарифны</w:t>
      </w:r>
      <w:r w:rsidR="00EE5922" w:rsidRPr="002D1C2D">
        <w:rPr>
          <w:rFonts w:ascii="Times New Roman" w:hAnsi="Times New Roman" w:cs="Times New Roman"/>
        </w:rPr>
        <w:t>й</w:t>
      </w:r>
      <w:r w:rsidRPr="002D1C2D">
        <w:rPr>
          <w:rFonts w:ascii="Times New Roman" w:hAnsi="Times New Roman" w:cs="Times New Roman"/>
        </w:rPr>
        <w:t xml:space="preserve"> план</w:t>
      </w:r>
      <w:r w:rsidR="00013797" w:rsidRPr="002D1C2D">
        <w:rPr>
          <w:rFonts w:ascii="Times New Roman" w:hAnsi="Times New Roman" w:cs="Times New Roman"/>
        </w:rPr>
        <w:t xml:space="preserve"> </w:t>
      </w:r>
      <w:r w:rsidR="00472936">
        <w:rPr>
          <w:rFonts w:ascii="Times New Roman" w:hAnsi="Times New Roman" w:cs="Times New Roman"/>
        </w:rPr>
        <w:t xml:space="preserve"> для основного рабочего места</w:t>
      </w:r>
      <w:r w:rsidR="00805496" w:rsidRPr="002D1C2D">
        <w:rPr>
          <w:rFonts w:ascii="Times New Roman" w:hAnsi="Times New Roman" w:cs="Times New Roman"/>
        </w:rPr>
        <w:t xml:space="preserve"> </w:t>
      </w:r>
      <w:r w:rsidR="00013797" w:rsidRPr="002D1C2D">
        <w:rPr>
          <w:rFonts w:ascii="Times New Roman" w:hAnsi="Times New Roman" w:cs="Times New Roman"/>
        </w:rPr>
        <w:t>включа</w:t>
      </w:r>
      <w:r w:rsidR="00DA04D7" w:rsidRPr="002D1C2D">
        <w:rPr>
          <w:rFonts w:ascii="Times New Roman" w:hAnsi="Times New Roman" w:cs="Times New Roman"/>
        </w:rPr>
        <w:t>е</w:t>
      </w:r>
      <w:r w:rsidR="00013797" w:rsidRPr="002D1C2D">
        <w:rPr>
          <w:rFonts w:ascii="Times New Roman" w:hAnsi="Times New Roman" w:cs="Times New Roman"/>
        </w:rPr>
        <w:t>т в себя:</w:t>
      </w:r>
    </w:p>
    <w:p w:rsidR="00013797" w:rsidRPr="002D1C2D" w:rsidRDefault="00013797" w:rsidP="00FF080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1C2D">
        <w:rPr>
          <w:rFonts w:ascii="Times New Roman" w:hAnsi="Times New Roman" w:cs="Times New Roman"/>
        </w:rPr>
        <w:t>− Право использования программы для ЭВМ «</w:t>
      </w:r>
      <w:proofErr w:type="spellStart"/>
      <w:r w:rsidRPr="002D1C2D">
        <w:rPr>
          <w:rFonts w:ascii="Times New Roman" w:hAnsi="Times New Roman" w:cs="Times New Roman"/>
        </w:rPr>
        <w:t>Контур</w:t>
      </w:r>
      <w:proofErr w:type="gramStart"/>
      <w:r w:rsidRPr="002D1C2D">
        <w:rPr>
          <w:rFonts w:ascii="Times New Roman" w:hAnsi="Times New Roman" w:cs="Times New Roman"/>
        </w:rPr>
        <w:t>.</w:t>
      </w:r>
      <w:r w:rsidR="0066045E" w:rsidRPr="002D1C2D">
        <w:rPr>
          <w:rFonts w:ascii="Times New Roman" w:hAnsi="Times New Roman" w:cs="Times New Roman"/>
        </w:rPr>
        <w:t>Ф</w:t>
      </w:r>
      <w:proofErr w:type="gramEnd"/>
      <w:r w:rsidR="0066045E" w:rsidRPr="002D1C2D">
        <w:rPr>
          <w:rFonts w:ascii="Times New Roman" w:hAnsi="Times New Roman" w:cs="Times New Roman"/>
        </w:rPr>
        <w:t>МС</w:t>
      </w:r>
      <w:proofErr w:type="spellEnd"/>
      <w:r w:rsidRPr="002D1C2D">
        <w:rPr>
          <w:rFonts w:ascii="Times New Roman" w:hAnsi="Times New Roman" w:cs="Times New Roman"/>
        </w:rPr>
        <w:t>»</w:t>
      </w:r>
      <w:r w:rsidR="00EE5922" w:rsidRPr="002D1C2D">
        <w:rPr>
          <w:rFonts w:ascii="Times New Roman" w:hAnsi="Times New Roman" w:cs="Times New Roman"/>
        </w:rPr>
        <w:t xml:space="preserve"> для 1 пользователя</w:t>
      </w:r>
      <w:r w:rsidRPr="002D1C2D">
        <w:rPr>
          <w:rFonts w:ascii="Times New Roman" w:hAnsi="Times New Roman" w:cs="Times New Roman"/>
        </w:rPr>
        <w:t>.</w:t>
      </w:r>
    </w:p>
    <w:p w:rsidR="00013797" w:rsidRPr="002D1C2D" w:rsidRDefault="00013797" w:rsidP="00FF080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1C2D">
        <w:rPr>
          <w:rFonts w:ascii="Times New Roman" w:hAnsi="Times New Roman" w:cs="Times New Roman"/>
        </w:rPr>
        <w:t xml:space="preserve">− Абонентское обслуживание </w:t>
      </w:r>
      <w:r w:rsidR="00A05997" w:rsidRPr="002D1C2D">
        <w:rPr>
          <w:rFonts w:ascii="Times New Roman" w:hAnsi="Times New Roman" w:cs="Times New Roman"/>
        </w:rPr>
        <w:t>программы для ЭВМ «</w:t>
      </w:r>
      <w:proofErr w:type="spellStart"/>
      <w:r w:rsidR="00A05997" w:rsidRPr="002D1C2D">
        <w:rPr>
          <w:rFonts w:ascii="Times New Roman" w:hAnsi="Times New Roman" w:cs="Times New Roman"/>
        </w:rPr>
        <w:t>Контур</w:t>
      </w:r>
      <w:proofErr w:type="gramStart"/>
      <w:r w:rsidR="00A05997" w:rsidRPr="002D1C2D">
        <w:rPr>
          <w:rFonts w:ascii="Times New Roman" w:hAnsi="Times New Roman" w:cs="Times New Roman"/>
        </w:rPr>
        <w:t>.</w:t>
      </w:r>
      <w:r w:rsidR="0066045E" w:rsidRPr="002D1C2D">
        <w:rPr>
          <w:rFonts w:ascii="Times New Roman" w:hAnsi="Times New Roman" w:cs="Times New Roman"/>
        </w:rPr>
        <w:t>Ф</w:t>
      </w:r>
      <w:proofErr w:type="gramEnd"/>
      <w:r w:rsidR="0066045E" w:rsidRPr="002D1C2D">
        <w:rPr>
          <w:rFonts w:ascii="Times New Roman" w:hAnsi="Times New Roman" w:cs="Times New Roman"/>
        </w:rPr>
        <w:t>МС</w:t>
      </w:r>
      <w:proofErr w:type="spellEnd"/>
      <w:r w:rsidR="00A05997" w:rsidRPr="002D1C2D">
        <w:rPr>
          <w:rFonts w:ascii="Times New Roman" w:hAnsi="Times New Roman" w:cs="Times New Roman"/>
        </w:rPr>
        <w:t>»</w:t>
      </w:r>
      <w:r w:rsidRPr="002D1C2D">
        <w:rPr>
          <w:rFonts w:ascii="Times New Roman" w:hAnsi="Times New Roman" w:cs="Times New Roman"/>
        </w:rPr>
        <w:t xml:space="preserve">. </w:t>
      </w:r>
    </w:p>
    <w:p w:rsidR="00013797" w:rsidRDefault="00472936" w:rsidP="00FF080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1C2D">
        <w:rPr>
          <w:rFonts w:ascii="Times New Roman" w:hAnsi="Times New Roman" w:cs="Times New Roman"/>
        </w:rPr>
        <w:t xml:space="preserve">Тарифный план </w:t>
      </w:r>
      <w:r>
        <w:rPr>
          <w:rFonts w:ascii="Times New Roman" w:hAnsi="Times New Roman" w:cs="Times New Roman"/>
        </w:rPr>
        <w:t xml:space="preserve"> для дополнительного рабочего места</w:t>
      </w:r>
      <w:r w:rsidRPr="002D1C2D">
        <w:rPr>
          <w:rFonts w:ascii="Times New Roman" w:hAnsi="Times New Roman" w:cs="Times New Roman"/>
        </w:rPr>
        <w:t xml:space="preserve"> включает в себя</w:t>
      </w:r>
      <w:r>
        <w:rPr>
          <w:rFonts w:ascii="Times New Roman" w:hAnsi="Times New Roman" w:cs="Times New Roman"/>
        </w:rPr>
        <w:t xml:space="preserve"> </w:t>
      </w:r>
      <w:r w:rsidR="00A05997" w:rsidRPr="002D1C2D">
        <w:rPr>
          <w:rFonts w:ascii="Times New Roman" w:hAnsi="Times New Roman" w:cs="Times New Roman"/>
        </w:rPr>
        <w:t xml:space="preserve"> право использования программы </w:t>
      </w:r>
      <w:r w:rsidR="00930653" w:rsidRPr="002D1C2D">
        <w:rPr>
          <w:rFonts w:ascii="Times New Roman" w:hAnsi="Times New Roman" w:cs="Times New Roman"/>
        </w:rPr>
        <w:t xml:space="preserve">для ЭВМ </w:t>
      </w:r>
      <w:r w:rsidR="00A05997" w:rsidRPr="002D1C2D">
        <w:rPr>
          <w:rFonts w:ascii="Times New Roman" w:hAnsi="Times New Roman" w:cs="Times New Roman"/>
        </w:rPr>
        <w:t>«</w:t>
      </w:r>
      <w:proofErr w:type="spellStart"/>
      <w:r w:rsidR="00A05997" w:rsidRPr="002D1C2D">
        <w:rPr>
          <w:rFonts w:ascii="Times New Roman" w:hAnsi="Times New Roman" w:cs="Times New Roman"/>
        </w:rPr>
        <w:t>Контур</w:t>
      </w:r>
      <w:proofErr w:type="gramStart"/>
      <w:r w:rsidR="00A05997" w:rsidRPr="002D1C2D">
        <w:rPr>
          <w:rFonts w:ascii="Times New Roman" w:hAnsi="Times New Roman" w:cs="Times New Roman"/>
        </w:rPr>
        <w:t>.</w:t>
      </w:r>
      <w:r w:rsidR="0066045E" w:rsidRPr="002D1C2D">
        <w:rPr>
          <w:rFonts w:ascii="Times New Roman" w:hAnsi="Times New Roman" w:cs="Times New Roman"/>
        </w:rPr>
        <w:t>Ф</w:t>
      </w:r>
      <w:proofErr w:type="gramEnd"/>
      <w:r w:rsidR="0066045E" w:rsidRPr="002D1C2D">
        <w:rPr>
          <w:rFonts w:ascii="Times New Roman" w:hAnsi="Times New Roman" w:cs="Times New Roman"/>
        </w:rPr>
        <w:t>МС</w:t>
      </w:r>
      <w:proofErr w:type="spellEnd"/>
      <w:r w:rsidR="00A05997" w:rsidRPr="002D1C2D">
        <w:rPr>
          <w:rFonts w:ascii="Times New Roman" w:hAnsi="Times New Roman" w:cs="Times New Roman"/>
        </w:rPr>
        <w:t>» для дополнительного пользователя. Дополнительн</w:t>
      </w:r>
      <w:r w:rsidR="00146201" w:rsidRPr="002D1C2D">
        <w:rPr>
          <w:rFonts w:ascii="Times New Roman" w:hAnsi="Times New Roman" w:cs="Times New Roman"/>
        </w:rPr>
        <w:t>ое</w:t>
      </w:r>
      <w:r w:rsidR="00A05997" w:rsidRPr="002D1C2D">
        <w:rPr>
          <w:rFonts w:ascii="Times New Roman" w:hAnsi="Times New Roman" w:cs="Times New Roman"/>
        </w:rPr>
        <w:t xml:space="preserve"> </w:t>
      </w:r>
      <w:r w:rsidR="00146201" w:rsidRPr="002D1C2D">
        <w:rPr>
          <w:rFonts w:ascii="Times New Roman" w:hAnsi="Times New Roman" w:cs="Times New Roman"/>
        </w:rPr>
        <w:t xml:space="preserve">рабочее место </w:t>
      </w:r>
      <w:r w:rsidR="00A05997" w:rsidRPr="002D1C2D">
        <w:rPr>
          <w:rFonts w:ascii="Times New Roman" w:hAnsi="Times New Roman" w:cs="Times New Roman"/>
        </w:rPr>
        <w:t>приобретается</w:t>
      </w:r>
      <w:r w:rsidR="00DA04D7" w:rsidRPr="002D1C2D">
        <w:rPr>
          <w:rFonts w:ascii="Times New Roman" w:hAnsi="Times New Roman" w:cs="Times New Roman"/>
        </w:rPr>
        <w:t xml:space="preserve"> </w:t>
      </w:r>
      <w:r w:rsidR="00A05997" w:rsidRPr="002D1C2D">
        <w:rPr>
          <w:rFonts w:ascii="Times New Roman" w:hAnsi="Times New Roman" w:cs="Times New Roman"/>
        </w:rPr>
        <w:t xml:space="preserve">на период до окончания срока </w:t>
      </w:r>
      <w:r w:rsidR="00FF0804" w:rsidRPr="002D1C2D">
        <w:rPr>
          <w:rFonts w:ascii="Times New Roman" w:hAnsi="Times New Roman" w:cs="Times New Roman"/>
        </w:rPr>
        <w:t>действия</w:t>
      </w:r>
      <w:r w:rsidR="00013797" w:rsidRPr="002D1C2D">
        <w:rPr>
          <w:rFonts w:ascii="Times New Roman" w:hAnsi="Times New Roman" w:cs="Times New Roman"/>
        </w:rPr>
        <w:t xml:space="preserve"> </w:t>
      </w:r>
      <w:r w:rsidR="00AB06C2" w:rsidRPr="002D1C2D">
        <w:rPr>
          <w:rFonts w:ascii="Times New Roman" w:hAnsi="Times New Roman" w:cs="Times New Roman"/>
        </w:rPr>
        <w:t xml:space="preserve">тарифного плана </w:t>
      </w:r>
      <w:r>
        <w:rPr>
          <w:rFonts w:ascii="Times New Roman" w:hAnsi="Times New Roman" w:cs="Times New Roman"/>
        </w:rPr>
        <w:t>для основного рабочего места</w:t>
      </w:r>
      <w:r w:rsidR="00A05997" w:rsidRPr="002D1C2D">
        <w:rPr>
          <w:rFonts w:ascii="Times New Roman" w:hAnsi="Times New Roman" w:cs="Times New Roman"/>
        </w:rPr>
        <w:t>, стоимость рассчитывается исходя из количества необходимых месяцев</w:t>
      </w:r>
      <w:r w:rsidR="00013797" w:rsidRPr="002D1C2D">
        <w:rPr>
          <w:rFonts w:ascii="Times New Roman" w:hAnsi="Times New Roman" w:cs="Times New Roman"/>
        </w:rPr>
        <w:t>.</w:t>
      </w:r>
      <w:r w:rsidR="00C909D4" w:rsidRPr="002D1C2D">
        <w:rPr>
          <w:rFonts w:ascii="Times New Roman" w:hAnsi="Times New Roman" w:cs="Times New Roman"/>
        </w:rPr>
        <w:t xml:space="preserve"> </w:t>
      </w:r>
    </w:p>
    <w:p w:rsidR="00970411" w:rsidRPr="002D1C2D" w:rsidRDefault="0069279D" w:rsidP="00FF0804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2D1C2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случаях компрометации</w:t>
      </w:r>
      <w:r w:rsidR="00E35B34" w:rsidRPr="002D1C2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(утраты, использования без согласия владельца сертификата)</w:t>
      </w:r>
      <w:r w:rsidRPr="002D1C2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ключа</w:t>
      </w:r>
      <w:r w:rsidR="00E35B34" w:rsidRPr="002D1C2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электронной подписи (закрытого ключа)</w:t>
      </w:r>
      <w:r w:rsidRPr="002D1C2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или изменения параметров сертификата, </w:t>
      </w:r>
      <w:r w:rsidRPr="002D1C2D">
        <w:rPr>
          <w:rFonts w:ascii="Times New Roman" w:eastAsia="Calibri" w:hAnsi="Times New Roman" w:cs="Times New Roman"/>
        </w:rPr>
        <w:t>необходимо повторное приобретение квалифицированного сертификата.</w:t>
      </w:r>
    </w:p>
    <w:sectPr w:rsidR="00970411" w:rsidRPr="002D1C2D" w:rsidSect="00CD0416">
      <w:pgSz w:w="11906" w:h="16838"/>
      <w:pgMar w:top="907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13" w:rsidRDefault="00381213" w:rsidP="00914110">
      <w:pPr>
        <w:spacing w:after="0" w:line="240" w:lineRule="auto"/>
      </w:pPr>
      <w:r>
        <w:separator/>
      </w:r>
    </w:p>
  </w:endnote>
  <w:endnote w:type="continuationSeparator" w:id="0">
    <w:p w:rsidR="00381213" w:rsidRDefault="00381213" w:rsidP="0091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13" w:rsidRDefault="00381213" w:rsidP="00914110">
      <w:pPr>
        <w:spacing w:after="0" w:line="240" w:lineRule="auto"/>
      </w:pPr>
      <w:r>
        <w:separator/>
      </w:r>
    </w:p>
  </w:footnote>
  <w:footnote w:type="continuationSeparator" w:id="0">
    <w:p w:rsidR="00381213" w:rsidRDefault="00381213" w:rsidP="0091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12F"/>
    <w:multiLevelType w:val="multilevel"/>
    <w:tmpl w:val="217CF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EC07E0"/>
    <w:multiLevelType w:val="multilevel"/>
    <w:tmpl w:val="35FEA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3252" w:hanging="1125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EF2F75"/>
    <w:multiLevelType w:val="multilevel"/>
    <w:tmpl w:val="DE2CDC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33B77"/>
    <w:multiLevelType w:val="hybridMultilevel"/>
    <w:tmpl w:val="4100F000"/>
    <w:lvl w:ilvl="0" w:tplc="CBF40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51372"/>
    <w:multiLevelType w:val="hybridMultilevel"/>
    <w:tmpl w:val="87788F80"/>
    <w:lvl w:ilvl="0" w:tplc="8F9E0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витан Ирина Евгеньевна">
    <w15:presenceInfo w15:providerId="AD" w15:userId="S-1-5-21-1231152155-1323711836-1525454979-5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0AF"/>
    <w:rsid w:val="00000FE9"/>
    <w:rsid w:val="00004ACC"/>
    <w:rsid w:val="00013797"/>
    <w:rsid w:val="00043CE0"/>
    <w:rsid w:val="00045EA8"/>
    <w:rsid w:val="00083A4C"/>
    <w:rsid w:val="00083ADF"/>
    <w:rsid w:val="000A0518"/>
    <w:rsid w:val="000C68FB"/>
    <w:rsid w:val="000D244A"/>
    <w:rsid w:val="00142608"/>
    <w:rsid w:val="00146201"/>
    <w:rsid w:val="0018561D"/>
    <w:rsid w:val="001C7F6B"/>
    <w:rsid w:val="001D67A7"/>
    <w:rsid w:val="001E4FCC"/>
    <w:rsid w:val="002019DD"/>
    <w:rsid w:val="00246479"/>
    <w:rsid w:val="00285E9E"/>
    <w:rsid w:val="002B42DB"/>
    <w:rsid w:val="002D1C2D"/>
    <w:rsid w:val="00302B32"/>
    <w:rsid w:val="00317FB6"/>
    <w:rsid w:val="003532DA"/>
    <w:rsid w:val="0035784D"/>
    <w:rsid w:val="00364EDF"/>
    <w:rsid w:val="00375979"/>
    <w:rsid w:val="00381213"/>
    <w:rsid w:val="003E6549"/>
    <w:rsid w:val="0041647B"/>
    <w:rsid w:val="004206DC"/>
    <w:rsid w:val="00424290"/>
    <w:rsid w:val="00443014"/>
    <w:rsid w:val="00472936"/>
    <w:rsid w:val="004934C0"/>
    <w:rsid w:val="004A6250"/>
    <w:rsid w:val="004A7A25"/>
    <w:rsid w:val="004B3C75"/>
    <w:rsid w:val="004E5D44"/>
    <w:rsid w:val="004F70F4"/>
    <w:rsid w:val="00536F1E"/>
    <w:rsid w:val="00563B96"/>
    <w:rsid w:val="005E0D55"/>
    <w:rsid w:val="00610EB2"/>
    <w:rsid w:val="00632642"/>
    <w:rsid w:val="0066045E"/>
    <w:rsid w:val="006710AF"/>
    <w:rsid w:val="00672697"/>
    <w:rsid w:val="00677995"/>
    <w:rsid w:val="0069279D"/>
    <w:rsid w:val="006A678A"/>
    <w:rsid w:val="006D25C2"/>
    <w:rsid w:val="006E1ECF"/>
    <w:rsid w:val="006E46F7"/>
    <w:rsid w:val="00742126"/>
    <w:rsid w:val="00751898"/>
    <w:rsid w:val="00751D92"/>
    <w:rsid w:val="00764FF8"/>
    <w:rsid w:val="007779C5"/>
    <w:rsid w:val="007E681B"/>
    <w:rsid w:val="007E760F"/>
    <w:rsid w:val="007F104C"/>
    <w:rsid w:val="00805496"/>
    <w:rsid w:val="00820C76"/>
    <w:rsid w:val="00831E85"/>
    <w:rsid w:val="00845E41"/>
    <w:rsid w:val="00846408"/>
    <w:rsid w:val="00847E41"/>
    <w:rsid w:val="008574A7"/>
    <w:rsid w:val="008C34A5"/>
    <w:rsid w:val="00914110"/>
    <w:rsid w:val="00930653"/>
    <w:rsid w:val="00970411"/>
    <w:rsid w:val="009838ED"/>
    <w:rsid w:val="009F0B90"/>
    <w:rsid w:val="009F1E51"/>
    <w:rsid w:val="009F3675"/>
    <w:rsid w:val="00A05997"/>
    <w:rsid w:val="00A113F0"/>
    <w:rsid w:val="00A13510"/>
    <w:rsid w:val="00A54D40"/>
    <w:rsid w:val="00A87913"/>
    <w:rsid w:val="00A95C42"/>
    <w:rsid w:val="00AB06C2"/>
    <w:rsid w:val="00AC2F7F"/>
    <w:rsid w:val="00AD59A2"/>
    <w:rsid w:val="00AF360A"/>
    <w:rsid w:val="00B144CF"/>
    <w:rsid w:val="00B46E4F"/>
    <w:rsid w:val="00B95F5A"/>
    <w:rsid w:val="00BB0F92"/>
    <w:rsid w:val="00BC1388"/>
    <w:rsid w:val="00BC60F2"/>
    <w:rsid w:val="00C05A24"/>
    <w:rsid w:val="00C22ED6"/>
    <w:rsid w:val="00C32DCE"/>
    <w:rsid w:val="00C404B0"/>
    <w:rsid w:val="00C41B44"/>
    <w:rsid w:val="00C62CD0"/>
    <w:rsid w:val="00C64672"/>
    <w:rsid w:val="00C909D4"/>
    <w:rsid w:val="00CD0416"/>
    <w:rsid w:val="00D71CE0"/>
    <w:rsid w:val="00D765D0"/>
    <w:rsid w:val="00DA04D7"/>
    <w:rsid w:val="00DA20EA"/>
    <w:rsid w:val="00DC4189"/>
    <w:rsid w:val="00E001FA"/>
    <w:rsid w:val="00E35B34"/>
    <w:rsid w:val="00E516BC"/>
    <w:rsid w:val="00E721D6"/>
    <w:rsid w:val="00EA257D"/>
    <w:rsid w:val="00ED4BA0"/>
    <w:rsid w:val="00EE5922"/>
    <w:rsid w:val="00FB2ED7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C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110"/>
  </w:style>
  <w:style w:type="paragraph" w:styleId="a7">
    <w:name w:val="footer"/>
    <w:basedOn w:val="a"/>
    <w:link w:val="a8"/>
    <w:uiPriority w:val="99"/>
    <w:unhideWhenUsed/>
    <w:rsid w:val="0091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110"/>
  </w:style>
  <w:style w:type="paragraph" w:styleId="a9">
    <w:name w:val="Balloon Text"/>
    <w:basedOn w:val="a"/>
    <w:link w:val="aa"/>
    <w:uiPriority w:val="99"/>
    <w:semiHidden/>
    <w:unhideWhenUsed/>
    <w:rsid w:val="003E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5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2C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110"/>
  </w:style>
  <w:style w:type="paragraph" w:styleId="a7">
    <w:name w:val="footer"/>
    <w:basedOn w:val="a"/>
    <w:link w:val="a8"/>
    <w:uiPriority w:val="99"/>
    <w:unhideWhenUsed/>
    <w:rsid w:val="0091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110"/>
  </w:style>
  <w:style w:type="paragraph" w:styleId="a9">
    <w:name w:val="Balloon Text"/>
    <w:basedOn w:val="a"/>
    <w:link w:val="aa"/>
    <w:uiPriority w:val="99"/>
    <w:semiHidden/>
    <w:unhideWhenUsed/>
    <w:rsid w:val="003E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tShowOnHome xmlns="c51d9973-78ab-4606-9ed3-d4871d8f291e">false</DontShowOnHome>
    <DocumentTypes0 xmlns="c51d9973-78ab-4606-9ed3-d4871d8f291e">8;#Материалы по продажам;#12;#Прайс-лист</DocumentTypes0>
    <PreviewImage xmlns="c51d9973-78ab-4606-9ed3-d4871d8f291e" xsi:nil="true"/>
    <DocumentHeadings xmlns="c51d9973-78ab-4606-9ed3-d4871d8f291e">84;#ФМС</DocumentHeadings>
    <_x041a__x0440__x0430__x0442__x043a__x043e__x0435__x0020__x043e__x043f__x0438__x0441__x0430__x043d__x0438__x0435_ xmlns="c51d9973-78ab-4606-9ed3-d4871d8f291e">Прайс-лист по ФМС. Действительно с 01 июля 2015 г.</_x041a__x0440__x0430__x0442__x043a__x043e__x0435__x0020__x043e__x043f__x0438__x0441__x0430__x043d__x0438__x0435_>
    <IsPopular xmlns="c51d9973-78ab-4606-9ed3-d4871d8f291e">false</IsPopular>
    <old xmlns="c51d9973-78ab-4606-9ed3-d4871d8f291e">false</old>
    <PushNotification xmlns="c51d9973-78ab-4606-9ed3-d4871d8f291e">false</PushNotification>
    <DocumentRegions xmlns="c51d9973-78ab-4606-9ed3-d4871d8f291e">
      <Value>23</Value>
    </DocumentRegions>
    <news xmlns="c51d9973-78ab-4606-9ed3-d4871d8f291e">4039;#Новые цены на Контур.ФМС</news>
    <Promo xmlns="c51d9973-78ab-4606-9ed3-d4871d8f291e" xsi:nil="true"/>
    <_dlc_ExpireDateSaved xmlns="http://schemas.microsoft.com/sharepoint/v3" xsi:nil="true"/>
    <_dlc_ExpireDate xmlns="http://schemas.microsoft.com/sharepoint/v3">2015-11-15T07:52:22+00:00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6FB02806D051478331B2A19676806B" ma:contentTypeVersion="112" ma:contentTypeDescription="Создание документа." ma:contentTypeScope="" ma:versionID="91d838512af70a116a3aed8037bc8ba3">
  <xsd:schema xmlns:xsd="http://www.w3.org/2001/XMLSchema" xmlns:xs="http://www.w3.org/2001/XMLSchema" xmlns:p="http://schemas.microsoft.com/office/2006/metadata/properties" xmlns:ns1="http://schemas.microsoft.com/sharepoint/v3" xmlns:ns2="c51d9973-78ab-4606-9ed3-d4871d8f291e" targetNamespace="http://schemas.microsoft.com/office/2006/metadata/properties" ma:root="true" ma:fieldsID="f86eaa189d2bb6314fafbaa8565d2242" ns1:_="" ns2:_="">
    <xsd:import namespace="http://schemas.microsoft.com/sharepoint/v3"/>
    <xsd:import namespace="c51d9973-78ab-4606-9ed3-d4871d8f291e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/>
                <xsd:element ref="ns2:PreviewImage" minOccurs="0"/>
                <xsd:element ref="ns2:DocumentHeadings"/>
                <xsd:element ref="ns2:DocumentRegions" minOccurs="0"/>
                <xsd:element ref="ns2:IsPopular" minOccurs="0"/>
                <xsd:element ref="ns2:DontShowOnHome" minOccurs="0"/>
                <xsd:element ref="ns2:HeadingsIsProject" minOccurs="0"/>
                <xsd:element ref="ns2:PushNotification" minOccurs="0"/>
                <xsd:element ref="ns2:DocumentTypes0"/>
                <xsd:element ref="ns2:old" minOccurs="0"/>
                <xsd:element ref="ns1:_dlc_Exempt" minOccurs="0"/>
                <xsd:element ref="ns1:_dlc_ExpireDateSaved" minOccurs="0"/>
                <xsd:element ref="ns1:_dlc_ExpireDate" minOccurs="0"/>
                <xsd:element ref="ns2:news" minOccurs="0"/>
                <xsd:element ref="ns2:Prom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Исключение из политики" ma:hidden="true" ma:internalName="_dlc_Exempt" ma:readOnly="true">
      <xsd:simpleType>
        <xsd:restriction base="dms:Unknown"/>
      </xsd:simpleType>
    </xsd:element>
    <xsd:element name="_dlc_ExpireDateSaved" ma:index="23" nillable="true" ma:displayName="Исходный срок действия" ma:hidden="true" ma:internalName="_dlc_ExpireDateSaved" ma:readOnly="true">
      <xsd:simpleType>
        <xsd:restriction base="dms:DateTime"/>
      </xsd:simpleType>
    </xsd:element>
    <xsd:element name="_dlc_ExpireDate" ma:index="24" nillable="true" ma:displayName="Срок действия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d9973-78ab-4606-9ed3-d4871d8f291e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2" ma:displayName="Краткое описание документа" ma:internalName="_x041a__x0440__x0430__x0442__x043a__x043e__x0435__x0020__x043e__x043f__x0438__x0441__x0430__x043d__x0438__x0435_">
      <xsd:simpleType>
        <xsd:restriction base="dms:Note"/>
      </xsd:simpleType>
    </xsd:element>
    <xsd:element name="PreviewImage" ma:index="3" nillable="true" ma:displayName="Изображение документа" ma:internalName="PreviewImage" ma:readOnly="false">
      <xsd:simpleType>
        <xsd:restriction base="dms:Text"/>
      </xsd:simpleType>
    </xsd:element>
    <xsd:element name="DocumentHeadings" ma:index="4" ma:displayName="Категория" ma:list="{44f556c9-781d-4003-be75-3776f232337b}" ma:internalName="DocumentHeadings" ma:readOnly="false" ma:showField="Title">
      <xsd:simpleType>
        <xsd:restriction base="dms:Unknown"/>
      </xsd:simpleType>
    </xsd:element>
    <xsd:element name="DocumentRegions" ma:index="5" nillable="true" ma:displayName="Регионы документа" ma:list="{d00793bb-ada5-4c9c-b217-fb6d175df402}" ma:internalName="DocumentRegion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Popular" ma:index="7" nillable="true" ma:displayName="Популярный документ" ma:default="0" ma:internalName="IsPopular">
      <xsd:simpleType>
        <xsd:restriction base="dms:Boolean"/>
      </xsd:simpleType>
    </xsd:element>
    <xsd:element name="DontShowOnHome" ma:index="8" nillable="true" ma:displayName="Не показывать на главной" ma:default="0" ma:internalName="DontShowOnHome">
      <xsd:simpleType>
        <xsd:restriction base="dms:Boolean"/>
      </xsd:simpleType>
    </xsd:element>
    <xsd:element name="HeadingsIsProject" ma:index="11" nillable="true" ma:displayName="HeadingsIsProject" ma:list="{44f556c9-781d-4003-be75-3776f232337b}" ma:internalName="HeadingsIsProject" ma:readOnly="true" ma:showField="IsProjectText" ma:web="48566be6-75fe-42ed-b53a-26451bddb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shNotification" ma:index="16" nillable="true" ma:displayName="Отправить рассылку" ma:default="0" ma:internalName="PushNotification">
      <xsd:simpleType>
        <xsd:restriction base="dms:Boolean"/>
      </xsd:simpleType>
    </xsd:element>
    <xsd:element name="DocumentTypes0" ma:index="18" ma:displayName="Тип документа" ma:list="{4ce0899a-2d0e-4eed-8d61-2cb158db60a6}" ma:internalName="DocumentTypes0" ma:readOnly="false" ma:showField="Title">
      <xsd:simpleType>
        <xsd:restriction base="dms:Unknown"/>
      </xsd:simpleType>
    </xsd:element>
    <xsd:element name="old" ma:index="19" nillable="true" ma:displayName="Старый" ma:default="0" ma:description="Старый документ" ma:internalName="old">
      <xsd:simpleType>
        <xsd:restriction base="dms:Boolean"/>
      </xsd:simpleType>
    </xsd:element>
    <xsd:element name="news" ma:index="25" nillable="true" ma:displayName="Новость" ma:list="1e119acd-ed88-4844-9452-9c2da34b121d" ma:internalName="news" ma:readOnly="false" ma:showField="Title" ma:web="48566be6-75fe-42ed-b53a-26451bddb54f">
      <xsd:simpleType>
        <xsd:restriction base="dms:Unknown"/>
      </xsd:simpleType>
    </xsd:element>
    <xsd:element name="Promo" ma:index="26" nillable="true" ma:displayName="Акция" ma:list="a1dde1db-042e-4883-a78f-3f9eb52aa1cb" ma:internalName="Promo" ma:readOnly="false" ma:showField="Title" ma:web="48566be6-75fe-42ed-b53a-26451bddb54f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Expiration" staticId="0x0101002A6FB02806D051478331B2A19676806B|511195877" UniqueId="c0e29e2c-c8ab-494b-b87d-0ed5d2b18d58">
      <p:Name>Хранение</p:Name>
      <p:Description>Автоматическое планирование обработки контента и хранения контента, дата выполнения которого истекла.</p:Description>
      <p:CustomData>
        <Schedules nextStageId="4">
          <Schedule type="Default">
            <stages>
              <data stageId="1">
                <formula id="Microsoft.Office.RecordsManagement.PolicyFeatures.Expiration.Formula.BuiltIn">
                  <number>150</number>
                  <property>Modified</property>
                  <propertyId>28cf69c5-fa48-462a-b5cd-27b6f9d2bd5f</propertyId>
                  <period>days</period>
                </formula>
                <action type="workflow" id="e7124a27-1ec4-49bd-a985-2eea334f3694"/>
              </data>
              <data stageId="2">
                <formula id="Microsoft.Office.RecordsManagement.PolicyFeatures.Expiration.Formula.BuiltIn">
                  <number>180</number>
                  <property>Modified</property>
                  <propertyId>28cf69c5-fa48-462a-b5cd-27b6f9d2bd5f</propertyId>
                  <period>days</period>
                </formula>
                <action type="workflow" id="e7124a27-1ec4-49bd-a985-2eea334f3694"/>
              </data>
              <data stageId="3">
                <formula id="Microsoft.Office.RecordsManagement.PolicyFeatures.Expiration.Formula.BuiltIn">
                  <number>187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SubmitFileCopy" destnExplanation="Передано согласно политике организации" destnId="e0cfd4fd-a1f0-4b1e-9249-337ad7a55c4e" destnName="Хранилище истории документов" destnUrl="https://partners.skbkontur.ru/historyMiD/_vti_bin/officialfile.asmx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21D7-EEE9-4FDF-949A-5BE722A78F53}">
  <ds:schemaRefs>
    <ds:schemaRef ds:uri="http://schemas.microsoft.com/office/2006/metadata/properties"/>
    <ds:schemaRef ds:uri="http://schemas.microsoft.com/office/infopath/2007/PartnerControls"/>
    <ds:schemaRef ds:uri="c51d9973-78ab-4606-9ed3-d4871d8f291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798693-F925-4FC4-A978-695F0D684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1d9973-78ab-4606-9ed3-d4871d8f2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7D005-E97F-4BF3-A345-826A62BCBEA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C80A89E-2376-4B81-9E43-688D3AE58A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9C0722-93CD-42FD-8431-0ABFAE0F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по ФМС</dc:title>
  <dc:creator>Куклина Ирина Витальевна</dc:creator>
  <cp:lastModifiedBy>Sektor</cp:lastModifiedBy>
  <cp:revision>2</cp:revision>
  <cp:lastPrinted>2014-07-30T07:33:00Z</cp:lastPrinted>
  <dcterms:created xsi:type="dcterms:W3CDTF">2016-01-31T05:06:00Z</dcterms:created>
  <dcterms:modified xsi:type="dcterms:W3CDTF">2016-01-31T05:06:00Z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0x0101002A6FB02806D051478331B2A19676806B</vt:lpwstr>
  </property>
  <property fmtid="{D5CDD505-2E9C-101B-9397-08002B2CF9AE}" pid="3" name="_dlc_policyId">
    <vt:lpwstr>0x0101002A6FB02806D051478331B2A19676806B|511195877</vt:lpwstr>
  </property>
  <property fmtid="{D5CDD505-2E9C-101B-9397-08002B2CF9AE}" pid="4" name="ItemRetentionFormula">
    <vt:lpwstr>&lt;formula id="Microsoft.Office.RecordsManagement.PolicyFeatures.Expiration.Formula.BuiltIn"&gt;&lt;number&gt;150&lt;/number&gt;&lt;property&gt;Modified&lt;/property&gt;&lt;propertyId&gt;28cf69c5-fa48-462a-b5cd-27b6f9d2bd5f&lt;/propertyId&gt;&lt;period&gt;days&lt;/period&gt;&lt;/formula&gt;</vt:lpwstr>
  </property>
</Properties>
</file>